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5D7E" w14:textId="77777777" w:rsidR="003E5C02" w:rsidRPr="006135AE" w:rsidRDefault="003E5C02" w:rsidP="003E5C02">
      <w:pPr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6135A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附件</w:t>
      </w:r>
      <w:r w:rsidRPr="006135A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6135A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：</w:t>
      </w:r>
    </w:p>
    <w:p w14:paraId="1A568BA9" w14:textId="77777777" w:rsidR="003E5C02" w:rsidRDefault="003E5C02" w:rsidP="003E5C02">
      <w:pPr>
        <w:jc w:val="left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</w:p>
    <w:p w14:paraId="0538808E" w14:textId="77777777" w:rsidR="003E5C02" w:rsidRPr="006328CD" w:rsidRDefault="003E5C02" w:rsidP="003E5C02">
      <w:pPr>
        <w:spacing w:line="276" w:lineRule="auto"/>
        <w:jc w:val="center"/>
        <w:rPr>
          <w:rFonts w:ascii="仿宋" w:eastAsia="仿宋" w:hAnsi="仿宋"/>
          <w:b/>
          <w:sz w:val="36"/>
          <w:szCs w:val="36"/>
        </w:rPr>
      </w:pPr>
      <w:r w:rsidRPr="006328CD">
        <w:rPr>
          <w:rFonts w:ascii="仿宋" w:eastAsia="仿宋" w:hAnsi="仿宋" w:hint="eastAsia"/>
          <w:b/>
          <w:sz w:val="36"/>
          <w:szCs w:val="36"/>
        </w:rPr>
        <w:t>细胞工程及抗体药物教育部工程研究中心</w:t>
      </w:r>
    </w:p>
    <w:p w14:paraId="63A876DD" w14:textId="77777777" w:rsidR="003E5C02" w:rsidRPr="006328CD" w:rsidRDefault="003E5C02" w:rsidP="003E5C02">
      <w:pPr>
        <w:spacing w:line="276" w:lineRule="auto"/>
        <w:jc w:val="center"/>
        <w:rPr>
          <w:rFonts w:ascii="仿宋" w:eastAsia="仿宋" w:hAnsi="仿宋"/>
          <w:b/>
          <w:sz w:val="36"/>
          <w:szCs w:val="36"/>
        </w:rPr>
      </w:pPr>
      <w:r w:rsidRPr="006328CD">
        <w:rPr>
          <w:rFonts w:ascii="仿宋" w:eastAsia="仿宋" w:hAnsi="仿宋" w:hint="eastAsia"/>
          <w:b/>
          <w:sz w:val="36"/>
          <w:szCs w:val="36"/>
        </w:rPr>
        <w:t>开放课题管理办法</w:t>
      </w:r>
    </w:p>
    <w:p w14:paraId="7980D28E" w14:textId="77777777" w:rsidR="009E3C9D" w:rsidRPr="001F013F" w:rsidRDefault="006328CD" w:rsidP="006328CD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1F013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开放宗旨</w:t>
      </w:r>
    </w:p>
    <w:p w14:paraId="5E1A978E" w14:textId="77777777" w:rsidR="001F013F" w:rsidRPr="001F013F" w:rsidRDefault="001F013F" w:rsidP="00B51F88">
      <w:pPr>
        <w:pStyle w:val="Default"/>
        <w:ind w:firstLineChars="200"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为加强国内外学术交流，</w:t>
      </w:r>
      <w:r w:rsidRPr="001F013F">
        <w:rPr>
          <w:rFonts w:hAnsi="仿宋" w:hint="eastAsia"/>
          <w:sz w:val="28"/>
          <w:szCs w:val="28"/>
        </w:rPr>
        <w:t>细胞工程及抗体药物教育部工程研究中心（简称：抗体工程中心）本着</w:t>
      </w:r>
      <w:r w:rsidRPr="001F013F">
        <w:rPr>
          <w:rFonts w:hAnsi="仿宋" w:cs="Times New Roman" w:hint="eastAsia"/>
          <w:sz w:val="28"/>
          <w:szCs w:val="28"/>
        </w:rPr>
        <w:t>“</w:t>
      </w:r>
      <w:r w:rsidRPr="001F013F">
        <w:rPr>
          <w:rFonts w:hAnsi="仿宋" w:hint="eastAsia"/>
          <w:sz w:val="28"/>
          <w:szCs w:val="28"/>
        </w:rPr>
        <w:t>开放、联合、流动、竞争</w:t>
      </w:r>
      <w:r w:rsidRPr="001F013F">
        <w:rPr>
          <w:rFonts w:hAnsi="仿宋" w:cs="Times New Roman" w:hint="eastAsia"/>
          <w:sz w:val="28"/>
          <w:szCs w:val="28"/>
        </w:rPr>
        <w:t>”</w:t>
      </w:r>
      <w:r w:rsidRPr="001F013F">
        <w:rPr>
          <w:rFonts w:hAnsi="仿宋" w:hint="eastAsia"/>
          <w:sz w:val="28"/>
          <w:szCs w:val="28"/>
        </w:rPr>
        <w:t>的运行机制，</w:t>
      </w:r>
      <w:r>
        <w:rPr>
          <w:rFonts w:hAnsi="仿宋" w:hint="eastAsia"/>
          <w:sz w:val="28"/>
          <w:szCs w:val="28"/>
        </w:rPr>
        <w:t>根据实际情况设置</w:t>
      </w:r>
      <w:r w:rsidRPr="001F013F">
        <w:rPr>
          <w:rFonts w:hAnsi="仿宋" w:hint="eastAsia"/>
          <w:sz w:val="28"/>
          <w:szCs w:val="28"/>
        </w:rPr>
        <w:t>一定数量的开放课题，供国内外优秀学者参与研究。为规范开放课题的管理，特制定本办法</w:t>
      </w:r>
      <w:r w:rsidR="00B51F88">
        <w:rPr>
          <w:rFonts w:hAnsi="仿宋" w:hint="eastAsia"/>
          <w:sz w:val="28"/>
          <w:szCs w:val="28"/>
        </w:rPr>
        <w:t>（试行）</w:t>
      </w:r>
      <w:r>
        <w:rPr>
          <w:rFonts w:hAnsi="仿宋" w:hint="eastAsia"/>
          <w:sz w:val="28"/>
          <w:szCs w:val="28"/>
        </w:rPr>
        <w:t>。</w:t>
      </w:r>
    </w:p>
    <w:p w14:paraId="3D351A19" w14:textId="77777777" w:rsidR="006328CD" w:rsidRPr="00B51F88" w:rsidRDefault="001F013F" w:rsidP="006328CD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rPr>
          <w:rFonts w:ascii="仿宋" w:eastAsia="仿宋" w:hAnsi="仿宋"/>
          <w:b/>
          <w:color w:val="000000"/>
          <w:sz w:val="28"/>
          <w:szCs w:val="28"/>
        </w:rPr>
      </w:pPr>
      <w:r w:rsidRPr="00B51F8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开放课题资助范围</w:t>
      </w:r>
    </w:p>
    <w:p w14:paraId="3937000F" w14:textId="77777777" w:rsidR="00B51F88" w:rsidRPr="005B4E53" w:rsidRDefault="00B51F88" w:rsidP="005B4E53">
      <w:pPr>
        <w:pStyle w:val="Default"/>
        <w:ind w:firstLineChars="200" w:firstLine="560"/>
        <w:rPr>
          <w:rFonts w:hAnsi="仿宋"/>
          <w:sz w:val="28"/>
          <w:szCs w:val="28"/>
        </w:rPr>
      </w:pPr>
      <w:r w:rsidRPr="005B4E53">
        <w:rPr>
          <w:rFonts w:hAnsi="仿宋" w:hint="eastAsia"/>
          <w:sz w:val="28"/>
          <w:szCs w:val="28"/>
        </w:rPr>
        <w:t>开放课题资助的范围和重点领域</w:t>
      </w:r>
      <w:r w:rsidR="00F43E46">
        <w:rPr>
          <w:rFonts w:hAnsi="仿宋" w:hint="eastAsia"/>
          <w:sz w:val="28"/>
          <w:szCs w:val="28"/>
        </w:rPr>
        <w:t>由中心</w:t>
      </w:r>
      <w:r w:rsidR="00C17C91">
        <w:rPr>
          <w:rFonts w:hAnsi="仿宋" w:hint="eastAsia"/>
          <w:sz w:val="28"/>
          <w:szCs w:val="28"/>
        </w:rPr>
        <w:t>技术指导委员</w:t>
      </w:r>
      <w:r w:rsidRPr="005B4E53">
        <w:rPr>
          <w:rFonts w:hAnsi="仿宋" w:hint="eastAsia"/>
          <w:sz w:val="28"/>
          <w:szCs w:val="28"/>
        </w:rPr>
        <w:t>会确定</w:t>
      </w:r>
      <w:r w:rsidR="00F43E46">
        <w:rPr>
          <w:rFonts w:hAnsi="仿宋" w:hint="eastAsia"/>
          <w:sz w:val="28"/>
          <w:szCs w:val="28"/>
        </w:rPr>
        <w:t>并在中心</w:t>
      </w:r>
      <w:r w:rsidR="00A9796F">
        <w:rPr>
          <w:rFonts w:hAnsi="仿宋" w:hint="eastAsia"/>
          <w:sz w:val="28"/>
          <w:szCs w:val="28"/>
        </w:rPr>
        <w:t>及药学院</w:t>
      </w:r>
      <w:r w:rsidR="00F43E46">
        <w:rPr>
          <w:rFonts w:hAnsi="仿宋" w:hint="eastAsia"/>
          <w:sz w:val="28"/>
          <w:szCs w:val="28"/>
        </w:rPr>
        <w:t>网站公布开放课题申请指南。</w:t>
      </w:r>
    </w:p>
    <w:p w14:paraId="0E0A0429" w14:textId="77777777" w:rsidR="004C2BD5" w:rsidRPr="00F43E46" w:rsidRDefault="00F43E46" w:rsidP="00A9796F">
      <w:pPr>
        <w:pStyle w:val="a3"/>
        <w:spacing w:before="0" w:beforeAutospacing="0" w:after="0" w:afterAutospacing="0" w:line="315" w:lineRule="atLeas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F43E4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三、开放对象</w:t>
      </w:r>
    </w:p>
    <w:p w14:paraId="314E6207" w14:textId="77777777" w:rsidR="009E3C9D" w:rsidRPr="007031D1" w:rsidRDefault="00F43E46" w:rsidP="00A9796F">
      <w:pPr>
        <w:pStyle w:val="a3"/>
        <w:spacing w:before="0" w:beforeAutospacing="0" w:after="0" w:afterAutospacing="0" w:line="315" w:lineRule="atLeast"/>
        <w:ind w:firstLine="420"/>
        <w:rPr>
          <w:rFonts w:asciiTheme="minorEastAsia" w:eastAsiaTheme="minorEastAsia" w:hAnsiTheme="minorEastAsia" w:cs="Times New Roman"/>
          <w:color w:val="000000"/>
        </w:rPr>
      </w:pPr>
      <w:r w:rsidRPr="00B2394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开放课题主要面向国内高等学校、科研院所等企事业单位的优秀学者，重点鼓励中青年研究人员申报。申请者一般应具备高级专业技术职称或博士学位，且在本指南相关领域已积累良好的前期研究基础，鼓励与本中心科研人员合作申请。</w:t>
      </w:r>
    </w:p>
    <w:p w14:paraId="271364CF" w14:textId="77777777" w:rsidR="00246ED6" w:rsidRPr="00F43E46" w:rsidRDefault="00F43E46" w:rsidP="00A9796F">
      <w:pPr>
        <w:pStyle w:val="a3"/>
        <w:spacing w:before="0" w:beforeAutospacing="0" w:after="0" w:afterAutospacing="0" w:line="315" w:lineRule="atLeas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F43E4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四、开放课题申请</w:t>
      </w:r>
      <w:r w:rsidR="00A153C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及评审原则</w:t>
      </w:r>
    </w:p>
    <w:p w14:paraId="2E0F30DE" w14:textId="77777777" w:rsidR="004C2BD5" w:rsidRPr="00372DFA" w:rsidRDefault="007A0FC0" w:rsidP="007A0FC0">
      <w:pPr>
        <w:pStyle w:val="Defaul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>）申请人根据抗体工程中心发布的开放课题申请指南，于规定的时间内向中心提交课题申请书。</w:t>
      </w:r>
    </w:p>
    <w:p w14:paraId="17D27C0F" w14:textId="77777777" w:rsidR="00A153C7" w:rsidRPr="00372DFA" w:rsidRDefault="00A153C7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）中心将根据择优资助的原则，组织中心教授专家以通讯评议方式进行初评；然后由中心</w:t>
      </w:r>
      <w:r w:rsidR="00C17C91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技术指导委员会组织专家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进行会议评审，选取优秀的项目进行资助。</w:t>
      </w:r>
    </w:p>
    <w:p w14:paraId="00EE02E6" w14:textId="7BFFC285" w:rsidR="00A153C7" w:rsidRPr="00372DFA" w:rsidRDefault="00A153C7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）开放基金的评审结果将在</w:t>
      </w:r>
      <w:r w:rsidR="00DD7033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药学院及中心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网站上进行公示，并向申请者发出正式通知。</w:t>
      </w:r>
    </w:p>
    <w:p w14:paraId="45F1F4EA" w14:textId="77777777" w:rsidR="00EB47B7" w:rsidRPr="00372DFA" w:rsidRDefault="00EB47B7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FFFFFF"/>
        </w:rPr>
        <w:t>五、开放课题管理</w:t>
      </w:r>
    </w:p>
    <w:p w14:paraId="6E4D9A29" w14:textId="41BD12CC" w:rsidR="00EB47B7" w:rsidRPr="00372DFA" w:rsidRDefault="00EB47B7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）开放课题一般在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年内完成，特殊情况不超过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年。</w:t>
      </w:r>
    </w:p>
    <w:p w14:paraId="32200471" w14:textId="77777777" w:rsidR="00EB47B7" w:rsidRPr="00372DFA" w:rsidRDefault="00EB47B7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每项课题在执行一年后填写《抗体工程中心开放课题年度进展报告》，并提供相应的论文、成果简介、鉴定或获奖证书的复印件；课题实施过程中，原则上不应随意更改原定的研究内容和研究目标。如需变动，必须由申请人在课题研究期限的一半时间前（一般为一年前）提出申请，</w:t>
      </w:r>
      <w:proofErr w:type="gramStart"/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报中心</w:t>
      </w:r>
      <w:proofErr w:type="gramEnd"/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审批。</w:t>
      </w:r>
    </w:p>
    <w:p w14:paraId="11572C1C" w14:textId="77777777" w:rsidR="00E00F61" w:rsidRPr="00372DFA" w:rsidRDefault="00573C3F" w:rsidP="007E1DAE">
      <w:pPr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开放课题结束后，申请人必须在</w:t>
      </w:r>
      <w:r w:rsidR="00E00F6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1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个月内提交</w:t>
      </w:r>
      <w:r w:rsidR="00E00F6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结题材料</w:t>
      </w:r>
      <w:r w:rsidR="00E00F6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, </w:t>
      </w:r>
      <w:r w:rsidR="00E00F6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并附相关的研究成果证明。提交的材料包括：</w:t>
      </w:r>
    </w:p>
    <w:p w14:paraId="5843E578" w14:textId="77777777" w:rsidR="00E00F61" w:rsidRPr="00372DFA" w:rsidRDefault="00E00F61" w:rsidP="00E00F61">
      <w:pPr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①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《抗体工程中心开放课题总结报告》（研究内容的完成情况）；</w:t>
      </w:r>
    </w:p>
    <w:p w14:paraId="3FC70862" w14:textId="77777777" w:rsidR="007E1DAE" w:rsidRPr="00372DFA" w:rsidRDefault="00E00F61" w:rsidP="007E1DAE">
      <w:pPr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②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由资助所取得的主要研究成果、论文、著作、申请专利、成果鉴定，以及后续的论文和成果；</w:t>
      </w:r>
    </w:p>
    <w:p w14:paraId="51995EA2" w14:textId="77777777" w:rsidR="00573C3F" w:rsidRPr="00372DFA" w:rsidRDefault="007E1DAE" w:rsidP="007E1DAE">
      <w:pPr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③</w:t>
      </w:r>
      <w:r w:rsidR="00E00F6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课题经费结算表。</w:t>
      </w:r>
    </w:p>
    <w:p w14:paraId="03D04E30" w14:textId="77777777" w:rsidR="00A9796F" w:rsidRPr="00372DFA" w:rsidRDefault="007E1DAE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）抗体工程中心组织专家对结束的开放课题完成情况进行评议。</w:t>
      </w:r>
    </w:p>
    <w:p w14:paraId="6954390A" w14:textId="77777777" w:rsidR="00A9796F" w:rsidRPr="00372DFA" w:rsidRDefault="007E1DAE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FFFFFF"/>
        </w:rPr>
        <w:t>六、开放课题经费使用及管理</w:t>
      </w:r>
    </w:p>
    <w:p w14:paraId="5F1D17E9" w14:textId="77777777" w:rsidR="00790116" w:rsidRPr="00372DFA" w:rsidRDefault="00A9796F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）开放课题设立专项经费，主要使用范围包括与本研究课题相关的</w:t>
      </w:r>
      <w:r w:rsidR="00A70902"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实验试剂耗材、测试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、学术活动费、科研成果管理费</w:t>
      </w:r>
      <w:r w:rsidR="00790116"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等。</w:t>
      </w:r>
    </w:p>
    <w:p w14:paraId="7A2B3955" w14:textId="77777777" w:rsidR="007E1DAE" w:rsidRPr="00372DFA" w:rsidRDefault="00790116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</w:t>
      </w:r>
      <w:r w:rsidR="007E1DAE"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开放课题经费可以外拨，上海交通大学内部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项目资助</w:t>
      </w:r>
      <w:r w:rsidR="007E1DAE"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可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通过</w:t>
      </w:r>
      <w:r w:rsidR="007E1DAE"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设立子项目号专款专用。</w:t>
      </w:r>
    </w:p>
    <w:p w14:paraId="67435D19" w14:textId="77777777" w:rsidR="00790116" w:rsidRPr="00372DFA" w:rsidRDefault="00790116" w:rsidP="00A153C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72DFA"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  <w:t>）项目负责人是该课题资金使用的直接责任人，应严格遵守国家和学校财务规章制度，对资金使用的真实性、相关性、科学性、合理性承担相应的责任，并接受上级部门和学校相关部门的监督检查。</w:t>
      </w:r>
    </w:p>
    <w:p w14:paraId="1E578597" w14:textId="77777777" w:rsidR="00790116" w:rsidRPr="00372DFA" w:rsidRDefault="00790116" w:rsidP="00790116">
      <w:pPr>
        <w:pStyle w:val="Default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>）中心定期检查开放课题进展情况，若发现延误或经费使用不当的，中心有权减少或停止经费使用，直至撤消资助。</w:t>
      </w:r>
    </w:p>
    <w:p w14:paraId="1EACAED9" w14:textId="77777777" w:rsidR="007031D1" w:rsidRPr="00372DFA" w:rsidRDefault="00974A20" w:rsidP="00A70902">
      <w:pPr>
        <w:tabs>
          <w:tab w:val="left" w:pos="720"/>
        </w:tabs>
        <w:spacing w:beforeLines="50" w:before="156" w:line="360" w:lineRule="auto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七</w:t>
      </w:r>
      <w:r w:rsidR="007031D1" w:rsidRPr="00372DFA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、</w:t>
      </w:r>
      <w:r w:rsidR="00181B0A" w:rsidRPr="00372DFA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成果管理</w:t>
      </w:r>
      <w:r w:rsidR="00A9796F" w:rsidRPr="00372DFA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及文章署名</w:t>
      </w:r>
    </w:p>
    <w:p w14:paraId="61BC8F20" w14:textId="77777777" w:rsidR="00181B0A" w:rsidRPr="00372DFA" w:rsidRDefault="007031D1" w:rsidP="00A9796F">
      <w:pPr>
        <w:spacing w:beforeLines="50" w:before="156" w:line="360" w:lineRule="auto"/>
        <w:ind w:firstLine="420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凡经本中心开放基金资助的课题，其研究成果由本中心及研究者所在单位共享。由开放基金资助课题发表的论文，应注明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“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本课题由细胞工程及抗体药物教育部工程研究中心开放基金资助</w:t>
      </w: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="006C4D4F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。</w:t>
      </w:r>
      <w:r w:rsidR="00181B0A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发表学术论文时按以下格式共同署名，署名排序由研究者和依托实验室负责人根据双方在工作中的贡献，并依照国际通行的惯例讨论确定。</w:t>
      </w:r>
    </w:p>
    <w:p w14:paraId="19CBA5BB" w14:textId="77777777" w:rsidR="00181B0A" w:rsidRPr="00372DFA" w:rsidRDefault="00181B0A" w:rsidP="00974A20">
      <w:pPr>
        <w:widowControl/>
        <w:spacing w:beforeLines="50" w:before="156"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中文：</w:t>
      </w:r>
      <w:r w:rsidR="007031D1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上海交通大学细胞工程及抗体药物教育部工程研究中心</w:t>
      </w:r>
    </w:p>
    <w:p w14:paraId="34A1A803" w14:textId="77777777" w:rsidR="00181B0A" w:rsidRPr="00372DFA" w:rsidRDefault="00181B0A" w:rsidP="00974A20">
      <w:pPr>
        <w:autoSpaceDE w:val="0"/>
        <w:autoSpaceDN w:val="0"/>
        <w:adjustRightInd w:val="0"/>
        <w:spacing w:before="50"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英文：</w:t>
      </w:r>
      <w:r w:rsidR="00766562" w:rsidRPr="00372DFA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Engineering Research Center of Cell &amp; Therapeutic Antibody, Ministry of Education, Shanghai Jiao Tong University</w:t>
      </w:r>
    </w:p>
    <w:p w14:paraId="38B753F5" w14:textId="77777777" w:rsidR="00A032D9" w:rsidRPr="00246ED6" w:rsidRDefault="00A032D9"/>
    <w:sectPr w:rsidR="00A032D9" w:rsidRPr="0024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FB36" w14:textId="77777777" w:rsidR="00F27905" w:rsidRDefault="00F27905" w:rsidP="00460967">
      <w:r>
        <w:separator/>
      </w:r>
    </w:p>
  </w:endnote>
  <w:endnote w:type="continuationSeparator" w:id="0">
    <w:p w14:paraId="3D353746" w14:textId="77777777" w:rsidR="00F27905" w:rsidRDefault="00F27905" w:rsidP="004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0306" w14:textId="77777777" w:rsidR="00F27905" w:rsidRDefault="00F27905" w:rsidP="00460967">
      <w:r>
        <w:separator/>
      </w:r>
    </w:p>
  </w:footnote>
  <w:footnote w:type="continuationSeparator" w:id="0">
    <w:p w14:paraId="748EDE73" w14:textId="77777777" w:rsidR="00F27905" w:rsidRDefault="00F27905" w:rsidP="004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5DF"/>
    <w:multiLevelType w:val="hybridMultilevel"/>
    <w:tmpl w:val="ABA8E42C"/>
    <w:lvl w:ilvl="0" w:tplc="19D2EBFA">
      <w:start w:val="1"/>
      <w:numFmt w:val="chineseCountingThousand"/>
      <w:lvlText w:val="%1、"/>
      <w:lvlJc w:val="left"/>
      <w:pPr>
        <w:tabs>
          <w:tab w:val="num" w:pos="170"/>
        </w:tabs>
        <w:ind w:left="454" w:hanging="454"/>
      </w:pPr>
      <w:rPr>
        <w:rFonts w:hint="eastAsia"/>
        <w:lang w:val="en-US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7E6D33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A1BADB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B129B3"/>
    <w:multiLevelType w:val="hybridMultilevel"/>
    <w:tmpl w:val="E59C52C8"/>
    <w:lvl w:ilvl="0" w:tplc="FBC091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0D4A1D"/>
    <w:multiLevelType w:val="hybridMultilevel"/>
    <w:tmpl w:val="4CACE5E2"/>
    <w:lvl w:ilvl="0" w:tplc="B3263B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773A81"/>
    <w:multiLevelType w:val="hybridMultilevel"/>
    <w:tmpl w:val="95C8C1D6"/>
    <w:lvl w:ilvl="0" w:tplc="D612F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10118A"/>
    <w:multiLevelType w:val="hybridMultilevel"/>
    <w:tmpl w:val="74020228"/>
    <w:lvl w:ilvl="0" w:tplc="21D40D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5A"/>
    <w:rsid w:val="00062427"/>
    <w:rsid w:val="000B6B61"/>
    <w:rsid w:val="00181B0A"/>
    <w:rsid w:val="001E75C8"/>
    <w:rsid w:val="001F013F"/>
    <w:rsid w:val="002305E3"/>
    <w:rsid w:val="00246ED6"/>
    <w:rsid w:val="002D1DB2"/>
    <w:rsid w:val="00372DFA"/>
    <w:rsid w:val="003E5C02"/>
    <w:rsid w:val="003F42FB"/>
    <w:rsid w:val="003F592E"/>
    <w:rsid w:val="00436D4D"/>
    <w:rsid w:val="004379A9"/>
    <w:rsid w:val="00460967"/>
    <w:rsid w:val="00473880"/>
    <w:rsid w:val="004C2BD5"/>
    <w:rsid w:val="005422A1"/>
    <w:rsid w:val="0056108C"/>
    <w:rsid w:val="00573C3F"/>
    <w:rsid w:val="005B4E53"/>
    <w:rsid w:val="006135AE"/>
    <w:rsid w:val="006328CD"/>
    <w:rsid w:val="006510CE"/>
    <w:rsid w:val="006A7A86"/>
    <w:rsid w:val="006C4D4F"/>
    <w:rsid w:val="006F427A"/>
    <w:rsid w:val="007031D1"/>
    <w:rsid w:val="00766562"/>
    <w:rsid w:val="00790116"/>
    <w:rsid w:val="007A0FC0"/>
    <w:rsid w:val="007E1DAE"/>
    <w:rsid w:val="00825496"/>
    <w:rsid w:val="00941C4F"/>
    <w:rsid w:val="00974A20"/>
    <w:rsid w:val="009B3D46"/>
    <w:rsid w:val="009E3C9D"/>
    <w:rsid w:val="00A032D9"/>
    <w:rsid w:val="00A05E85"/>
    <w:rsid w:val="00A153C7"/>
    <w:rsid w:val="00A5465A"/>
    <w:rsid w:val="00A70902"/>
    <w:rsid w:val="00A9796F"/>
    <w:rsid w:val="00B51F88"/>
    <w:rsid w:val="00B658F7"/>
    <w:rsid w:val="00BF334B"/>
    <w:rsid w:val="00C154D5"/>
    <w:rsid w:val="00C17C91"/>
    <w:rsid w:val="00C27CCB"/>
    <w:rsid w:val="00D81A26"/>
    <w:rsid w:val="00DA110D"/>
    <w:rsid w:val="00DC236E"/>
    <w:rsid w:val="00DD7033"/>
    <w:rsid w:val="00E00F61"/>
    <w:rsid w:val="00EB47B7"/>
    <w:rsid w:val="00ED399F"/>
    <w:rsid w:val="00F12622"/>
    <w:rsid w:val="00F27905"/>
    <w:rsid w:val="00F43E46"/>
    <w:rsid w:val="00F57040"/>
    <w:rsid w:val="00F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82A1"/>
  <w15:chartTrackingRefBased/>
  <w15:docId w15:val="{78649E6E-DF96-40AF-84A2-7EBE29D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6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031D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6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09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0967"/>
    <w:rPr>
      <w:sz w:val="18"/>
      <w:szCs w:val="18"/>
    </w:rPr>
  </w:style>
  <w:style w:type="paragraph" w:customStyle="1" w:styleId="Default">
    <w:name w:val="Default"/>
    <w:rsid w:val="001F013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 延林</dc:creator>
  <cp:keywords/>
  <dc:description/>
  <cp:lastModifiedBy>边 延林</cp:lastModifiedBy>
  <cp:revision>34</cp:revision>
  <dcterms:created xsi:type="dcterms:W3CDTF">2019-12-09T02:33:00Z</dcterms:created>
  <dcterms:modified xsi:type="dcterms:W3CDTF">2022-09-23T06:15:00Z</dcterms:modified>
</cp:coreProperties>
</file>